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哈萨克斯坦政府部门一览表</w:t>
      </w:r>
    </w:p>
    <w:tbl>
      <w:tblPr>
        <w:tblStyle w:val="4"/>
        <w:tblW w:w="9209" w:type="dxa"/>
        <w:tblInd w:w="0" w:type="dxa"/>
        <w:tblBorders>
          <w:top w:val="single" w:color="4F81BD" w:sz="12" w:space="0"/>
          <w:left w:val="single" w:color="4F81BD" w:sz="12" w:space="0"/>
          <w:bottom w:val="single" w:color="4F81BD" w:sz="12" w:space="0"/>
          <w:right w:val="single" w:color="4F81BD" w:sz="12" w:space="0"/>
          <w:insideH w:val="single" w:color="4F81BD" w:sz="6" w:space="0"/>
          <w:insideV w:val="single" w:color="4F81BD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066"/>
        <w:gridCol w:w="3472"/>
        <w:gridCol w:w="2693"/>
      </w:tblGrid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 w:eastAsia="华文宋体" w:cs="方正小标宋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/>
                <w:bCs/>
                <w:color w:val="auto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 w:eastAsia="华文宋体" w:cs="方正小标宋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/>
                <w:bCs/>
                <w:color w:val="auto"/>
                <w:sz w:val="21"/>
                <w:szCs w:val="21"/>
                <w:lang w:val="en-US" w:eastAsia="zh-CN" w:bidi="ar-SA"/>
              </w:rPr>
              <w:t>中  文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 w:eastAsia="华文宋体" w:cs="方正小标宋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/>
                <w:bCs/>
                <w:color w:val="auto"/>
                <w:sz w:val="21"/>
                <w:szCs w:val="21"/>
                <w:lang w:val="en-US" w:eastAsia="zh-CN" w:bidi="ar-SA"/>
              </w:rPr>
              <w:t>俄      文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 w:eastAsia="华文宋体" w:cs="方正小标宋"/>
                <w:b w:val="0"/>
                <w:bCs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/>
                <w:bCs/>
                <w:color w:val="auto"/>
                <w:sz w:val="21"/>
                <w:szCs w:val="21"/>
                <w:lang w:val="en-US" w:eastAsia="zh-CN" w:bidi="ar-SA"/>
              </w:rPr>
              <w:t>网  址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 w:val="0"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哈萨克斯坦政府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Правительство  Республики Казахстан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https://primeminister.kz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209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b w:val="0"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b/>
                <w:bCs/>
                <w:color w:val="221E1F"/>
                <w:sz w:val="21"/>
                <w:szCs w:val="21"/>
                <w:lang w:val="en-US" w:eastAsia="zh-CN" w:bidi="ar-SA"/>
              </w:rPr>
              <w:t>部（</w:t>
            </w:r>
            <w:r>
              <w:rPr>
                <w:rFonts w:hint="eastAsia" w:ascii="Times New Roman" w:hAnsi="Times New Roman" w:eastAsia="华文宋体" w:cs="Times New Roman"/>
                <w:b/>
                <w:bCs/>
                <w:color w:val="221E1F"/>
                <w:sz w:val="21"/>
                <w:szCs w:val="21"/>
                <w:lang w:val="en-US" w:eastAsia="zh-CN" w:bidi="ar-SA"/>
              </w:rPr>
              <w:t>21</w:t>
            </w:r>
            <w:r>
              <w:rPr>
                <w:rFonts w:ascii="Times New Roman" w:hAnsi="Times New Roman" w:eastAsia="华文宋体" w:cs="Times New Roman"/>
                <w:b/>
                <w:bCs/>
                <w:color w:val="221E1F"/>
                <w:sz w:val="21"/>
                <w:szCs w:val="21"/>
                <w:lang w:val="en-US" w:eastAsia="zh-CN" w:bidi="ar-SA"/>
              </w:rPr>
              <w:t>个）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外交</w:t>
            </w:r>
            <w:r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Министерство иностранных дел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https://www.gov.kz/memleket/entities/mfa?lang=ru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内务</w:t>
            </w: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ru-RU" w:eastAsia="zh-CN" w:bidi="ar-SA"/>
              </w:rPr>
              <w:t>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 xml:space="preserve">Министерство внутренних дел 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https://www.gov.kz/memleket/entities/qriim?lang=ru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ru-RU" w:eastAsia="zh-CN" w:bidi="ar-SA"/>
              </w:rPr>
              <w:t>3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国防部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Министерство обороны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https://www.gov.kz/memleket/entities/mod?lang=ru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ru-RU" w:eastAsia="zh-CN" w:bidi="ar-SA"/>
              </w:rPr>
              <w:t>4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highlight w:val="none"/>
                <w:lang w:val="en-US" w:eastAsia="zh-CN" w:bidi="ar-SA"/>
              </w:rPr>
              <w:t>交通</w:t>
            </w:r>
            <w:r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highlight w:val="none"/>
                <w:lang w:val="en-US" w:eastAsia="zh-CN" w:bidi="ar-SA"/>
              </w:rPr>
              <w:t>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highlight w:val="none"/>
                <w:lang w:val="ru-RU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ru-RU" w:eastAsia="zh-CN" w:bidi="ar-SA"/>
              </w:rPr>
              <w:t>Министерство транспорта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  <w:t>https://www.gov.kz/memleket/entities/transport?lang=ru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ru-RU" w:eastAsia="zh-CN" w:bidi="ar-SA"/>
              </w:rPr>
              <w:t>5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农业</w:t>
            </w:r>
            <w:r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Министерство сельского хозяйства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https://www.gov.kz/memleket/entities/moa?lang=ru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ru-RU" w:eastAsia="zh-CN" w:bidi="ar-SA"/>
              </w:rPr>
              <w:t>6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司法</w:t>
            </w:r>
            <w:r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Министерство юстиции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https://www.gov.kz/memleket/entities/adilet?lang=ru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ru-RU" w:eastAsia="zh-CN" w:bidi="ar-SA"/>
              </w:rPr>
              <w:t>7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科学和高等教育</w:t>
            </w: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Министерство науки и высшего образования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https://www.gov.kz/memleket/entities/sci?lang=ru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ru-RU" w:eastAsia="zh-CN" w:bidi="ar-SA"/>
              </w:rPr>
              <w:t>8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卫生</w:t>
            </w: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 xml:space="preserve">Министерство 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здравоохранения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https://www.gov.kz/memleket/entities/dsm?lang=ru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ru-RU" w:eastAsia="zh-CN" w:bidi="ar-SA"/>
              </w:rPr>
              <w:t>9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劳动和社会保障部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Министерство труда и социальной защиты</w:t>
            </w: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населения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https://www.gov.kz/memleket/entities/enbek?lang=ru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highlight w:val="none"/>
                <w:lang w:val="en-US" w:eastAsia="zh-Hans" w:bidi="ar-SA"/>
              </w:rPr>
              <w:t>工业和</w:t>
            </w: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highlight w:val="none"/>
                <w:lang w:val="en-US" w:eastAsia="zh-CN" w:bidi="ar-SA"/>
              </w:rPr>
              <w:t>建设</w:t>
            </w:r>
            <w:r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highlight w:val="none"/>
                <w:lang w:val="en-US" w:eastAsia="zh-CN" w:bidi="ar-SA"/>
              </w:rPr>
              <w:t>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ru-RU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ru-RU" w:eastAsia="zh-CN" w:bidi="ar-SA"/>
              </w:rPr>
              <w:t>Министерство промышленности и строительства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  <w:t>https://www.gov.kz/memleket/entities/miid?lang=ru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财政</w:t>
            </w: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 xml:space="preserve">Министерство 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финансов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https://www.gov.kz/memleket/entities/minfin?lang=ru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ru-RU" w:eastAsia="zh-CN" w:bidi="ar-SA"/>
              </w:rPr>
              <w:t>2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highlight w:val="none"/>
                <w:lang w:val="en-US" w:eastAsia="zh-Hans" w:bidi="ar-SA"/>
              </w:rPr>
              <w:t>文化和</w:t>
            </w: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highlight w:val="none"/>
                <w:lang w:val="en-US" w:eastAsia="zh-CN" w:bidi="ar-SA"/>
              </w:rPr>
              <w:t>信息部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ru-RU" w:eastAsia="zh-CN" w:bidi="ar-SA"/>
              </w:rPr>
            </w:pPr>
            <w:r>
              <w:rPr>
                <w:rFonts w:hint="default"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ru-RU" w:eastAsia="zh-CN" w:bidi="ar-SA"/>
              </w:rPr>
              <w:t>Министерство культуры и информации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  <w:t>https://www.gov.kz/memleket/entities/mam?lang=ru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国民经济</w:t>
            </w: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Министерство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 xml:space="preserve"> национальной экономики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https://www.gov.kz/memleket/entities/economy?lang=ru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数字发展、创新和航空航天工业部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Министерство цифрового развития, инноваций и аэрокосмической промышленности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https://www.gov.kz/memleket/entities/mdai?lang=ru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能源</w:t>
            </w: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Hans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 xml:space="preserve">Министерство 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энергетики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https://www.gov.kz/memleket/entities/energo?lang=ru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贸易和一体化部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Министерство торговли и интеграции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https://www.gov.kz/memleket/entities/mti?lang=ru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生态和自然资源部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Министерство эгологии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и природных ресурсов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https://www.gov.kz/memleket/entities/ecogeo?lang=ru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紧急事务部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Arial Unicode MS" w:hAnsi="Arial Unicode MS" w:eastAsia="方正小标宋" w:cs="方正小标宋"/>
                <w:color w:val="221E1F"/>
                <w:sz w:val="18"/>
                <w:szCs w:val="18"/>
                <w:lang w:val="en-US" w:eastAsia="zh-CN" w:bidi="ar-SA"/>
              </w:rPr>
              <w:fldChar w:fldCharType="begin"/>
            </w:r>
            <w:r>
              <w:rPr>
                <w:rFonts w:ascii="Arial Unicode MS" w:hAnsi="Arial Unicode MS" w:eastAsia="方正小标宋" w:cs="方正小标宋"/>
                <w:color w:val="221E1F"/>
                <w:sz w:val="18"/>
                <w:szCs w:val="18"/>
                <w:lang w:val="en-US" w:eastAsia="zh-CN" w:bidi="ar-SA"/>
              </w:rPr>
              <w:instrText xml:space="preserve"> HYPERLINK "https://www.gov.kz/memleket/entities/emer" </w:instrText>
            </w:r>
            <w:r>
              <w:rPr>
                <w:rFonts w:ascii="Arial Unicode MS" w:hAnsi="Arial Unicode MS" w:eastAsia="方正小标宋" w:cs="方正小标宋"/>
                <w:color w:val="221E1F"/>
                <w:sz w:val="18"/>
                <w:szCs w:val="18"/>
                <w:lang w:val="en-US" w:eastAsia="zh-CN" w:bidi="ar-SA"/>
              </w:rPr>
              <w:fldChar w:fldCharType="separate"/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Министерство по чрезвычайным ситуациям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fldChar w:fldCharType="end"/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https://www.gov.kz/memleket/entities/emer?lang=ru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Hans" w:bidi="ar-SA"/>
              </w:rPr>
              <w:t>教育部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Arial Unicode MS" w:hAnsi="Arial Unicode MS" w:eastAsia="方正小标宋" w:cs="方正小标宋"/>
                <w:color w:val="221E1F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方正小标宋" w:cs="Times New Roman"/>
                <w:color w:val="221E1F"/>
                <w:sz w:val="21"/>
                <w:szCs w:val="21"/>
                <w:lang w:val="en-US" w:eastAsia="zh-CN" w:bidi="ar-SA"/>
              </w:rPr>
              <w:t>Министерство просвещения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https://www.gov.kz/memleket/entities/edu?lang=ru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  <w:t>水资源和水利部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小标宋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  <w:t>Министерство водных ресурсов и ирригации Республики Казахстан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  <w:t>https://www.gov.kz/memleket/entities/water?lang=ru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  <w:t>旅游和体育部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小标宋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  <w:t>Министерство туризма и спорта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highlight w:val="none"/>
                <w:lang w:val="en-US" w:eastAsia="zh-CN" w:bidi="ar-SA"/>
              </w:rPr>
              <w:t>https://www.gov.kz/memleket/entities/tsm?lang=ru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9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b w:val="0"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b/>
                <w:bCs/>
                <w:color w:val="221E1F"/>
                <w:sz w:val="21"/>
                <w:szCs w:val="21"/>
                <w:lang w:val="en-US" w:eastAsia="zh-CN" w:bidi="ar-SA"/>
              </w:rPr>
              <w:t>署（</w:t>
            </w:r>
            <w:r>
              <w:rPr>
                <w:rFonts w:hint="default" w:ascii="Times New Roman" w:hAnsi="Times New Roman" w:eastAsia="华文宋体" w:cs="Times New Roman"/>
                <w:b/>
                <w:bCs/>
                <w:color w:val="221E1F"/>
                <w:sz w:val="21"/>
                <w:szCs w:val="21"/>
                <w:lang w:val="ru-RU" w:eastAsia="zh-CN" w:bidi="ar-SA"/>
              </w:rPr>
              <w:t>3</w:t>
            </w:r>
            <w:r>
              <w:rPr>
                <w:rFonts w:ascii="Times New Roman" w:hAnsi="Times New Roman" w:eastAsia="华文宋体" w:cs="Times New Roman"/>
                <w:b/>
                <w:bCs/>
                <w:color w:val="221E1F"/>
                <w:sz w:val="21"/>
                <w:szCs w:val="21"/>
                <w:lang w:val="en-US" w:eastAsia="zh-CN" w:bidi="ar-SA"/>
              </w:rPr>
              <w:t>个）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ru-RU" w:eastAsia="zh-CN" w:bidi="ar-SA"/>
              </w:rPr>
              <w:t>国家</w:t>
            </w: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反腐败署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Агентство</w:t>
            </w: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по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 xml:space="preserve"> противодействию коррупции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https://www.gov.kz/memleket/entities/anticorruption?lang=ru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金融市场监管和发展署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Агентство по регулированию и развитию финансового рынка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https://www.gov.kz/memleket/entities/ardfm?lang=ru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战略规划和改革署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000000"/>
                <w:sz w:val="21"/>
                <w:szCs w:val="21"/>
                <w:shd w:val="clear" w:color="auto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shd w:val="clear" w:color="auto" w:fill="FFFFFF"/>
                <w:lang w:val="ru-RU" w:eastAsia="zh-CN" w:bidi="ar-SA"/>
              </w:rPr>
              <w:t>Агентство по стратегическому планированию и реформам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https://www.gov.kz/memleket/entities/aspr?lang=ru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国家公务员事务署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shd w:val="clear" w:color="auto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shd w:val="clear" w:color="auto" w:fill="FFFFFF"/>
                <w:lang w:val="en-US" w:eastAsia="zh-Hans" w:bidi="ar-SA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https://www.gov.kz/memleket/entities/qyzmet?lang=ru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竞争保护和发展署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shd w:val="clear" w:color="auto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shd w:val="clear" w:color="auto" w:fill="FFFFFF"/>
                <w:lang w:val="en-US" w:eastAsia="zh-Hans" w:bidi="ar-SA"/>
              </w:rPr>
              <w:t>Агентство по защите и развитию конкуренции Республики Казахстан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https://www.gov.kz/memleket/entities/zk?lang=ru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6</w:t>
            </w:r>
            <w:bookmarkStart w:id="0" w:name="_GoBack"/>
            <w:bookmarkEnd w:id="0"/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金融监管署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shd w:val="clear" w:color="auto" w:fill="FFFFFF"/>
                <w:lang w:val="ru-RU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shd w:val="clear" w:color="auto" w:fill="FFFFFF"/>
                <w:lang w:val="en-US" w:eastAsia="zh-Hans" w:bidi="ar-SA"/>
              </w:rPr>
              <w:t>Агентство Республики Казахстан по финансовому мониторингу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https://www.gov.kz/memleket/entities/afm?lang=ru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9" w:type="dxa"/>
            <w:gridSpan w:val="4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b w:val="0"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b/>
                <w:bCs/>
                <w:color w:val="221E1F"/>
                <w:sz w:val="21"/>
                <w:szCs w:val="21"/>
                <w:lang w:val="en-US" w:eastAsia="zh-CN" w:bidi="ar-SA"/>
              </w:rPr>
              <w:t>其他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总统官方网站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Официальный сайт Президента Республики Казахстан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www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.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akorda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.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kz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议会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Парламент Республики Казахстан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www.parlam.kz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中央银行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Национальный Банк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www.nationalbank.kz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“</w:t>
            </w:r>
            <w:r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萨姆鲁克—卡泽纳</w:t>
            </w: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国家福利基金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Фонд национального благосо-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стояния"Самрук-Казына"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www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.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samruk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-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kazyna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.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kz</w:t>
            </w:r>
          </w:p>
        </w:tc>
      </w:tr>
      <w:tr>
        <w:tblPrEx>
          <w:tblBorders>
            <w:top w:val="single" w:color="4F81BD" w:sz="12" w:space="0"/>
            <w:left w:val="single" w:color="4F81BD" w:sz="12" w:space="0"/>
            <w:bottom w:val="single" w:color="4F81BD" w:sz="12" w:space="0"/>
            <w:right w:val="single" w:color="4F81BD" w:sz="12" w:space="0"/>
            <w:insideH w:val="single" w:color="4F81BD" w:sz="6" w:space="0"/>
            <w:insideV w:val="single" w:color="4F81BD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b/>
                <w:bCs w:val="0"/>
                <w:color w:val="221E1F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华文宋体" w:cs="方正小标宋"/>
                <w:b w:val="0"/>
                <w:bCs/>
                <w:color w:val="221E1F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6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CN" w:bidi="ar-SA"/>
              </w:rPr>
              <w:t>哈萨克斯坦</w:t>
            </w:r>
            <w:r>
              <w:rPr>
                <w:rFonts w:hint="eastAsia" w:ascii="Times New Roman" w:hAnsi="Times New Roman" w:eastAsia="华文宋体" w:cs="方正小标宋"/>
                <w:color w:val="221E1F"/>
                <w:sz w:val="21"/>
                <w:szCs w:val="21"/>
                <w:lang w:val="en-US" w:eastAsia="zh-Hans" w:bidi="ar-SA"/>
              </w:rPr>
              <w:t>国家统计局</w:t>
            </w:r>
          </w:p>
        </w:tc>
        <w:tc>
          <w:tcPr>
            <w:tcW w:w="3472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221E1F"/>
                <w:sz w:val="21"/>
                <w:szCs w:val="21"/>
                <w:lang w:val="ru-RU" w:eastAsia="zh-CN" w:bidi="ar-SA"/>
              </w:rPr>
              <w:t>Бюро национальной статистики</w:t>
            </w:r>
          </w:p>
        </w:tc>
        <w:tc>
          <w:tcPr>
            <w:tcW w:w="2693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</w:pP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www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.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stat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.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gov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ru-RU" w:eastAsia="zh-CN" w:bidi="ar-SA"/>
              </w:rPr>
              <w:t>.</w:t>
            </w:r>
            <w:r>
              <w:rPr>
                <w:rFonts w:ascii="Times New Roman" w:hAnsi="Times New Roman" w:eastAsia="华文宋体" w:cs="Times New Roman"/>
                <w:color w:val="221E1F"/>
                <w:sz w:val="21"/>
                <w:szCs w:val="21"/>
                <w:lang w:val="en-US" w:eastAsia="zh-CN" w:bidi="ar-SA"/>
              </w:rPr>
              <w:t>kz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ZDdmMWZhNGJlY2ZlYzAxZjk0NDEwZGFkYzcwZjMifQ=="/>
  </w:docVars>
  <w:rsids>
    <w:rsidRoot w:val="00172A27"/>
    <w:rsid w:val="26A07FE0"/>
    <w:rsid w:val="4A6A4F1F"/>
    <w:rsid w:val="58BC48A5"/>
    <w:rsid w:val="5D870DCA"/>
    <w:rsid w:val="6AEE2AF7"/>
    <w:rsid w:val="7A4C4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清单表 4 - 着色 11"/>
    <w:qFormat/>
    <w:uiPriority w:val="49"/>
    <w:tblPr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</w:tblBorders>
    </w:tblPr>
    <w:tblStylePr w:type="firstRow">
      <w:rPr>
        <w:b/>
        <w:bCs/>
        <w:color w:val="FFFFFF"/>
      </w:r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</w:tcBorders>
        <w:shd w:val="clear" w:color="auto" w:fill="4F81BD"/>
      </w:tcPr>
    </w:tblStylePr>
    <w:tblStylePr w:type="lastRow">
      <w:rPr>
        <w:b/>
        <w:bCs/>
      </w:rPr>
      <w:tcPr>
        <w:tcBorders>
          <w:top w:val="double" w:color="95B3D7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/>
      </w:tcPr>
    </w:tblStylePr>
    <w:tblStylePr w:type="band1Horz">
      <w:tcPr>
        <w:shd w:val="clear" w:color="auto" w:fill="DBE5F1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384</Words>
  <Characters>2549</Characters>
  <Lines>0</Lines>
  <Paragraphs>0</Paragraphs>
  <TotalTime>1</TotalTime>
  <ScaleCrop>false</ScaleCrop>
  <LinksUpToDate>false</LinksUpToDate>
  <CharactersWithSpaces>2643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yuhan</cp:lastModifiedBy>
  <dcterms:modified xsi:type="dcterms:W3CDTF">2023-10-30T03:56:40Z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FA91FE35E4EE4C66BE35D926BEF92B9C_12</vt:lpwstr>
  </property>
</Properties>
</file>